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小标宋" w:hAnsi="仿宋_GB2312" w:eastAsia="小标宋" w:cs="仿宋_GB2312"/>
          <w:bCs/>
          <w:color w:val="auto"/>
          <w:sz w:val="44"/>
          <w:szCs w:val="44"/>
          <w:lang w:eastAsia="zh-CN"/>
        </w:rPr>
      </w:pP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</w:rPr>
        <w:t>葛洲坝</w:t>
      </w: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  <w:lang w:eastAsia="zh-CN"/>
        </w:rPr>
        <w:t>钟祥</w:t>
      </w: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</w:rPr>
        <w:t>水泥</w:t>
      </w: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小标宋" w:hAnsi="小标宋" w:eastAsia="小标宋"/>
          <w:sz w:val="44"/>
        </w:rPr>
      </w:pPr>
      <w:r>
        <w:rPr>
          <w:rFonts w:hint="eastAsia" w:ascii="小标宋" w:hAnsi="仿宋_GB2312" w:eastAsia="小标宋" w:cs="仿宋_GB2312"/>
          <w:bCs/>
          <w:color w:val="auto"/>
          <w:sz w:val="44"/>
          <w:szCs w:val="44"/>
          <w:lang w:val="en-US" w:eastAsia="zh-CN"/>
        </w:rPr>
        <w:t>2020</w:t>
      </w:r>
      <w:r>
        <w:rPr>
          <w:rFonts w:hint="eastAsia" w:ascii="小标宋" w:hAnsi="仿宋_GB2312" w:eastAsia="小标宋" w:cs="仿宋_GB2312"/>
          <w:bCs/>
          <w:sz w:val="44"/>
          <w:szCs w:val="44"/>
          <w:lang w:eastAsia="zh-CN"/>
        </w:rPr>
        <w:t>年</w:t>
      </w:r>
      <w:r>
        <w:rPr>
          <w:rFonts w:hint="eastAsia" w:ascii="小标宋" w:hAnsi="小标宋" w:eastAsia="小标宋"/>
          <w:sz w:val="44"/>
        </w:rPr>
        <w:t>环境自行</w:t>
      </w:r>
      <w:r>
        <w:rPr>
          <w:rFonts w:hint="eastAsia" w:ascii="小标宋" w:hAnsi="小标宋" w:eastAsia="小标宋"/>
          <w:sz w:val="44"/>
          <w:lang w:eastAsia="zh-CN"/>
        </w:rPr>
        <w:t>监测</w:t>
      </w:r>
      <w:r>
        <w:rPr>
          <w:rFonts w:hint="eastAsia" w:ascii="小标宋" w:hAnsi="小标宋" w:eastAsia="小标宋"/>
          <w:sz w:val="44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仿宋_GB2312" w:eastAsia="小标宋" w:cs="仿宋_GB2312"/>
          <w:bCs/>
          <w:sz w:val="44"/>
          <w:szCs w:val="44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监测目的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及时、准确、全面的反映公司污染治理实施运行的情况，为环境管理污染防治提供依据，确保废气、噪声等污染物达标排放。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监测依据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/>
          <w:lang w:eastAsia="zh-CN"/>
        </w:rPr>
        <w:t>依据《中华人民共和国环境保护法》、《工业污染源监测管理办法》、《排污许可证申请与核发技术规范</w:t>
      </w:r>
      <w:r>
        <w:rPr>
          <w:rFonts w:hint="eastAsia"/>
          <w:lang w:val="en-US" w:eastAsia="zh-CN"/>
        </w:rPr>
        <w:t xml:space="preserve"> 水泥工业</w:t>
      </w:r>
      <w:r>
        <w:rPr>
          <w:rFonts w:hint="eastAsia"/>
          <w:lang w:eastAsia="zh-CN"/>
        </w:rPr>
        <w:t>》等相关规定，结合环境影响评价及排污许可证管理要求，编制本监测方案。</w:t>
      </w:r>
      <w:r>
        <w:rPr>
          <w:rFonts w:hint="eastAsia" w:ascii="仿宋_GB2312" w:hAnsi="仿宋_GB2312" w:eastAsia="仿宋_GB2312"/>
          <w:sz w:val="28"/>
        </w:rPr>
        <w:t xml:space="preserve"> 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监测范围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定期对公司废气、噪声等污染物排放情况进行监测。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监测要求</w:t>
      </w:r>
    </w:p>
    <w:p>
      <w:pPr>
        <w:numPr>
          <w:ilvl w:val="0"/>
          <w:numId w:val="2"/>
        </w:numPr>
        <w:ind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废气监测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项目：有组织排放的窑尾氮氧化物、二氧化硫、颗粒物及比对监测；窑头颗粒物的监测及比对监测；一般排放口的颗粒物监测；4000t/d生产线窑尾废气中的重金属、氯化氢、氟化氢，二噁英监测；厂界无组织废气监测。</w:t>
      </w:r>
    </w:p>
    <w:p>
      <w:pPr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（其中2000t/d生产线排放口因停产未安排监测）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监测频次：每年监测4次，每季度监测1次。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监测点位：厂区收尘器排放口及厂界周边4个无组织排放监测点。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监测方式：</w:t>
      </w:r>
      <w:r>
        <w:rPr>
          <w:rFonts w:hint="eastAsia" w:ascii="仿宋_GB2312" w:hAnsi="仿宋_GB2312" w:eastAsia="仿宋_GB2312"/>
          <w:sz w:val="28"/>
        </w:rPr>
        <w:t>委托</w:t>
      </w:r>
      <w:r>
        <w:rPr>
          <w:rFonts w:hint="eastAsia" w:ascii="仿宋_GB2312" w:hAnsi="仿宋_GB2312" w:eastAsia="仿宋_GB2312"/>
          <w:sz w:val="28"/>
          <w:lang w:eastAsia="zh-CN"/>
        </w:rPr>
        <w:t>有资质</w:t>
      </w:r>
      <w:r>
        <w:rPr>
          <w:rFonts w:hint="eastAsia" w:ascii="仿宋_GB2312" w:hAnsi="仿宋_GB2312" w:eastAsia="仿宋_GB2312"/>
          <w:sz w:val="28"/>
        </w:rPr>
        <w:t>第三方监测单位监测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噪声监测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监测项目：对公司厂界昼间、夜间噪声进行监测。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监测频次：每年监测4次，每季度监测1次。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监测点位：厂界周边4个噪声监测点。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监测方式：</w:t>
      </w:r>
      <w:r>
        <w:rPr>
          <w:rFonts w:hint="eastAsia" w:ascii="仿宋_GB2312" w:hAnsi="仿宋_GB2312" w:eastAsia="仿宋_GB2312"/>
          <w:sz w:val="28"/>
        </w:rPr>
        <w:t>委托</w:t>
      </w:r>
      <w:r>
        <w:rPr>
          <w:rFonts w:hint="eastAsia" w:ascii="仿宋_GB2312" w:hAnsi="仿宋_GB2312" w:eastAsia="仿宋_GB2312"/>
          <w:sz w:val="28"/>
          <w:lang w:eastAsia="zh-CN"/>
        </w:rPr>
        <w:t>有资质</w:t>
      </w:r>
      <w:r>
        <w:rPr>
          <w:rFonts w:hint="eastAsia" w:ascii="仿宋_GB2312" w:hAnsi="仿宋_GB2312" w:eastAsia="仿宋_GB2312"/>
          <w:sz w:val="28"/>
        </w:rPr>
        <w:t>第三方监测单位监测</w:t>
      </w:r>
      <w:r>
        <w:rPr>
          <w:rFonts w:hint="eastAsia"/>
          <w:lang w:val="en-US" w:eastAsia="zh-CN"/>
        </w:rPr>
        <w:t>。</w:t>
      </w:r>
    </w:p>
    <w:p>
      <w:pPr>
        <w:spacing w:beforeLines="0" w:afterLines="0" w:line="560" w:lineRule="exact"/>
        <w:ind w:firstLine="1120" w:firstLineChars="400"/>
        <w:rPr>
          <w:rFonts w:hint="eastAsia" w:ascii="仿宋_GB2312" w:hAnsi="仿宋_GB2312" w:eastAsia="仿宋_GB2312"/>
          <w:sz w:val="28"/>
          <w:lang w:eastAsia="zh-CN"/>
        </w:rPr>
      </w:pPr>
      <w:r>
        <w:rPr>
          <w:rFonts w:hint="eastAsia" w:ascii="仿宋_GB2312" w:hAnsi="仿宋_GB2312" w:eastAsia="仿宋_GB2312"/>
          <w:sz w:val="28"/>
        </w:rPr>
        <w:t>监测清单</w:t>
      </w:r>
      <w:r>
        <w:rPr>
          <w:rFonts w:hint="eastAsia" w:ascii="仿宋_GB2312" w:hAnsi="仿宋_GB2312" w:eastAsia="仿宋_GB2312"/>
          <w:sz w:val="28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beforeLines="0" w:afterLines="0"/>
        <w:ind w:firstLine="562" w:firstLineChars="200"/>
        <w:rPr>
          <w:rFonts w:hint="eastAsia" w:ascii="仿宋_GB2312" w:hAnsi="仿宋_GB2312" w:eastAsia="仿宋_GB2312"/>
          <w:b/>
          <w:bCs/>
          <w:sz w:val="28"/>
          <w:lang w:eastAsia="zh-CN"/>
        </w:rPr>
      </w:pPr>
      <w:r>
        <w:rPr>
          <w:rFonts w:hint="eastAsia" w:ascii="仿宋_GB2312" w:hAnsi="仿宋_GB2312" w:eastAsia="仿宋_GB2312"/>
          <w:b/>
          <w:bCs/>
          <w:sz w:val="28"/>
          <w:lang w:eastAsia="zh-CN"/>
        </w:rPr>
        <w:t>一、有组织排放</w:t>
      </w:r>
    </w:p>
    <w:tbl>
      <w:tblPr>
        <w:tblStyle w:val="3"/>
        <w:tblW w:w="12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050"/>
        <w:gridCol w:w="1380"/>
        <w:gridCol w:w="1305"/>
        <w:gridCol w:w="1468"/>
        <w:gridCol w:w="1258"/>
        <w:gridCol w:w="1265"/>
        <w:gridCol w:w="1478"/>
        <w:gridCol w:w="1309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序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号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污染源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排放设备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监测项目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执行标准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采样方法及个数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排放</w:t>
            </w: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限值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监测方式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监测频次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辊压机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库侧熟料散装机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库侧熟料散装机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粉煤灰库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矿渣配料库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粉煤灰库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混合材库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水泥散装仓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水泥散装仓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水泥散装仓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水泥散装仓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碎石灰石库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辊压机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选粉机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选粉机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生料计量仓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煤粉仓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石灰石配料库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石灰石配料库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辅料配料库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辅料配料库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立式磨机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冷却机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49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粉煤灰库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粉煤灰库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冷却机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煤粉仓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锤式破碎机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69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79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83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二氧化硫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100mg/Nm3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固定污染源排气中二氧化硫的测定 定电位电解法 HJ/T 57-2000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氮氧化物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320mg/Nm3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氮氧化物的测定 定电位电解法HJ 693-2014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氨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环境空气 氨的测定 次氯酸钠-水杨酸分光光度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汞及其化合物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0.05mg/Nm3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汞的测定 冷原子吸收分光光度法 (暂行)HJ 543—2009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氟化氢</w:t>
            </w:r>
          </w:p>
        </w:tc>
        <w:tc>
          <w:tcPr>
            <w:tcW w:w="1468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水泥窑协同处置固体废物污染控制标准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GB30485-2013</w:t>
            </w: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1次/半年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氟化氢的测定 离子色谱法（暂行）HJ 688-2013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氯化氢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1次/半年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环境空气和废气 氯化氢的测定 离子色谱法HJ 549-2016代替HJ 549-2009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铍、铬、锡、锑、铜、钴、锰、镍、钒及其化合物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0.5mg/Nm3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1次/半年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空气和废气 颗粒物中铅等金属元素的测定 电感耦合等离子体质谱法 HJ 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铊、镉、铅、砷及其化合物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1.0mg/Nm3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1次/半年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空气和废气 颗粒物中铅等金属元素的测定 电感耦合等离子体质谱法HJ657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总有机碳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1次/半年</w:t>
            </w: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 xml:space="preserve">HJ/T38固定污染源排气中非甲烷总烃的测定气相色谱法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二噁英类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0.1ng-TEQ/m3</w:t>
            </w:r>
          </w:p>
        </w:tc>
        <w:tc>
          <w:tcPr>
            <w:tcW w:w="14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1次/年</w:t>
            </w:r>
          </w:p>
        </w:tc>
        <w:tc>
          <w:tcPr>
            <w:tcW w:w="13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环境空气和废气 二噁英类的测定 同位素稀释高分辨气相色谱-高分辨质谱法HJ/T 77.2-2008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84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氮氧化物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320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氮氧化物的测定 定电位电解法HJ 693-2014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二氧化硫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100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固定污染源排气中二氧化硫的测定 定电位电解法 HJ/T 57-2000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氟化物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大气固定污染源 氟化物的测定 离子选择电极法HJ/T 67-2001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氨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环境空气 氨的测定 次氯酸钠-水杨酸分光光度法 HJ 534-2009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汞及其化合物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0.05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汞的测定 冷原子吸收分光光度法 (暂行)HJ 543—2009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85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氮氧化物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320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氮氧化物的测定 定电位电解法HJ 693-2014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二氧化硫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100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固定污染源排气中二氧化硫的测定 定电位电解法 HJ/T 57-2000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氟化物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5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大气固定污染源 氟化物的测定 离子选择电极法HJ/T 67-2001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氨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环境空气 氨的测定 次氯酸钠-水杨酸分光光度法 HJ 534-2009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汞及其化合物</w:t>
            </w:r>
          </w:p>
        </w:tc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0.05</w:t>
            </w:r>
          </w:p>
        </w:tc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3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固定污染源废气 汞的测定 冷原子吸收分光光度法 (暂行)HJ 543—2009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89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包装机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煤粉仓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石灰石配料库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砂岩配料库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粉煤灰库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石膏库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99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熟料库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锤式破碎机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冷却机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20mg/Nm3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球磨机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辊压机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119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129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石膏配料库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输送皮带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锤式破碎机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锤式破碎机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jc w:val="center"/>
              <w:rPr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135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废气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斗提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颗粒物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水泥工业大气污染物排放标准GB4915-2013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非连续采样，至少三个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10mg/Nm3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1次/2年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固定污染源排气中颗粒物测定与气态污染物采样方法 GB/T 16157-1996</w:t>
            </w:r>
          </w:p>
        </w:tc>
      </w:tr>
    </w:tbl>
    <w:p>
      <w:pPr>
        <w:numPr>
          <w:ilvl w:val="0"/>
          <w:numId w:val="0"/>
        </w:numPr>
        <w:spacing w:beforeLines="0" w:afterLines="0"/>
        <w:rPr>
          <w:rFonts w:hint="eastAsia" w:ascii="仿宋_GB2312" w:hAnsi="仿宋_GB2312"/>
          <w:b/>
          <w:bCs/>
          <w:sz w:val="28"/>
          <w:lang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 w:eastAsia="仿宋_GB2312"/>
          <w:b/>
          <w:bCs/>
          <w:sz w:val="28"/>
          <w:lang w:eastAsia="zh-CN"/>
        </w:rPr>
      </w:pPr>
      <w:r>
        <w:rPr>
          <w:rFonts w:hint="eastAsia" w:ascii="仿宋_GB2312" w:hAnsi="仿宋_GB2312"/>
          <w:b/>
          <w:bCs/>
          <w:sz w:val="28"/>
          <w:lang w:eastAsia="zh-CN"/>
        </w:rPr>
        <w:t>二、</w:t>
      </w:r>
      <w:r>
        <w:rPr>
          <w:rFonts w:hint="eastAsia" w:ascii="仿宋_GB2312" w:hAnsi="仿宋_GB2312" w:eastAsia="仿宋_GB2312"/>
          <w:b/>
          <w:bCs/>
          <w:sz w:val="28"/>
          <w:lang w:eastAsia="zh-CN"/>
        </w:rPr>
        <w:t>无组织</w:t>
      </w:r>
      <w:r>
        <w:rPr>
          <w:rFonts w:hint="eastAsia" w:ascii="仿宋_GB2312" w:hAnsi="仿宋_GB2312"/>
          <w:b/>
          <w:bCs/>
          <w:sz w:val="28"/>
          <w:lang w:eastAsia="zh-CN"/>
        </w:rPr>
        <w:t>排放</w:t>
      </w:r>
    </w:p>
    <w:tbl>
      <w:tblPr>
        <w:tblStyle w:val="3"/>
        <w:tblW w:w="13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724"/>
        <w:gridCol w:w="2323"/>
        <w:gridCol w:w="1717"/>
        <w:gridCol w:w="2052"/>
        <w:gridCol w:w="1491"/>
        <w:gridCol w:w="21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序号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监测点位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监测因子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标准名称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限值</w:t>
            </w:r>
            <w:r>
              <w:rPr>
                <w:rFonts w:hint="eastAsia" w:ascii="Times New Roman" w:hAnsi="Times New Roman" w:eastAsia="Times New Roman"/>
                <w:b/>
                <w:sz w:val="24"/>
                <w:lang w:val="en-US" w:eastAsia="zh-CN"/>
              </w:rPr>
              <w:t>/mg·m</w:t>
            </w:r>
            <w:r>
              <w:rPr>
                <w:rFonts w:hint="eastAsia" w:ascii="Times New Roman" w:hAnsi="Times New Roman" w:eastAsia="Times New Roman"/>
                <w:b/>
                <w:sz w:val="24"/>
                <w:vertAlign w:val="superscript"/>
                <w:lang w:val="en-US" w:eastAsia="zh-CN"/>
              </w:rPr>
              <w:t>-3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  <w:t>采样方法及个数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监测方法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  <w:t>1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Fonts w:hint="eastAsia" w:eastAsia="Times New Roman"/>
                <w:sz w:val="21"/>
                <w:lang w:eastAsia="zh-CN"/>
              </w:rPr>
              <w:t>厂界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Fonts w:hint="eastAsia" w:eastAsia="Times New Roman"/>
                <w:sz w:val="21"/>
                <w:lang w:eastAsia="zh-CN"/>
              </w:rPr>
              <w:t>颗粒物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水泥工业大气污染物排放标准GB 4915-2013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eastAsia="Times New Roman"/>
                <w:sz w:val="21"/>
                <w:lang w:val="en-US" w:eastAsia="zh-CN"/>
              </w:rPr>
              <w:t>0.5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lang w:val="en-US" w:eastAsia="zh-CN"/>
              </w:rPr>
              <w:t>非连续采样，至少三个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环境空气 总悬浮颗粒物的测定 重量法 GB/T 15432-1995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1次/1季度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  <w:t>2</w:t>
            </w:r>
          </w:p>
        </w:tc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Fonts w:hint="eastAsia" w:eastAsia="Times New Roman"/>
                <w:sz w:val="21"/>
                <w:lang w:eastAsia="zh-CN"/>
              </w:rPr>
              <w:t>氨</w:t>
            </w: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eastAsia="Times New Roman"/>
                <w:sz w:val="21"/>
                <w:lang w:val="en-US" w:eastAsia="zh-CN"/>
              </w:rPr>
              <w:t>1</w:t>
            </w: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环境空气 氨的测定 次氯酸钠-水杨酸分光光度法 HJ 534-2009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1次/1季度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  <w:t>3</w:t>
            </w:r>
          </w:p>
        </w:tc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硫化氢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恶臭污染物排放标准GB 14554-93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eastAsia="Times New Roman"/>
                <w:sz w:val="21"/>
                <w:lang w:val="en-US" w:eastAsia="zh-CN"/>
              </w:rPr>
              <w:t>0.06</w:t>
            </w: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硫化氢、甲硫醉、甲硫醉、甲硫醚、二甲二硫的测定 气相色谱法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1次/1年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/>
                <w:sz w:val="21"/>
                <w:lang w:val="en-US" w:eastAsia="zh-CN"/>
              </w:rPr>
              <w:t>4</w:t>
            </w: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臭气浓度</w:t>
            </w: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default" w:ascii="Times New Roman" w:hAnsi="Times New Roman" w:eastAsia="Times New Roman"/>
                <w:sz w:val="21"/>
                <w:lang w:val="en-US" w:eastAsia="zh-CN"/>
              </w:rPr>
            </w:pPr>
            <w:r>
              <w:rPr>
                <w:rFonts w:hint="eastAsia" w:eastAsia="Times New Roman"/>
                <w:sz w:val="21"/>
                <w:lang w:val="en-US" w:eastAsia="zh-CN"/>
              </w:rPr>
              <w:t>20</w:t>
            </w: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1"/>
                <w:lang w:eastAsia="zh-CN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恶臭的测定 三点比较式臭袋法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Times New Roman" w:cs="Times New Roman"/>
                <w:kern w:val="2"/>
                <w:sz w:val="21"/>
                <w:lang w:val="en-US" w:eastAsia="zh-CN" w:bidi="ar-SA"/>
              </w:rPr>
              <w:t>1次/1年</w:t>
            </w:r>
          </w:p>
        </w:tc>
      </w:tr>
    </w:tbl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/>
          <w:b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/>
          <w:b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/>
          <w:b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/>
          <w:b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/>
          <w:b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eastAsia" w:ascii="仿宋_GB2312" w:hAnsi="仿宋_GB2312" w:eastAsia="仿宋_GB2312"/>
          <w:b/>
          <w:bCs/>
          <w:sz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lang w:val="en-US" w:eastAsia="zh-CN"/>
        </w:rPr>
        <w:t>三、</w:t>
      </w:r>
      <w:r>
        <w:rPr>
          <w:rFonts w:hint="eastAsia" w:ascii="仿宋_GB2312" w:hAnsi="仿宋_GB2312" w:eastAsia="仿宋_GB2312"/>
          <w:b/>
          <w:bCs/>
          <w:sz w:val="28"/>
          <w:lang w:val="en-US" w:eastAsia="zh-CN"/>
        </w:rPr>
        <w:t>厂界噪声</w:t>
      </w:r>
    </w:p>
    <w:tbl>
      <w:tblPr>
        <w:tblStyle w:val="3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80"/>
        <w:gridCol w:w="1188"/>
        <w:gridCol w:w="3585"/>
        <w:gridCol w:w="1317"/>
        <w:gridCol w:w="1283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监测点位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监测指标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排放限值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执行标准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监测方式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监测频次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测量仪器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厂界东外1米1#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等效连续A声级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白天：60</w:t>
            </w:r>
          </w:p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夜晚：50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《工业企业厂界环境噪声排放标准》中表1中2类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1次/1季度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积分平均声级计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厂界南外1米1#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等效连续A声级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白天：60夜晚：50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《工业企业厂界环境噪声排放标准》中表1中2类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1次/1季度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积分平均声级计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厂界西外1米1#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等效连续A声级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白天：60夜晚：50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《工业企业厂界环境噪声排放标准》中表1中2类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1次/1季度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积分平均声级计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厂界北外1米1#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等效连续A声级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白天：60夜晚：50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default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《工业企业厂界环境噪声排放标准》中表1中2类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手工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1次/1季度</w:t>
            </w:r>
          </w:p>
        </w:tc>
        <w:tc>
          <w:tcPr>
            <w:tcW w:w="4450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kern w:val="2"/>
                <w:sz w:val="21"/>
                <w:lang w:val="en-US" w:eastAsia="zh-CN" w:bidi="ar-SA"/>
              </w:rPr>
              <w:t>积分平均声级计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default" w:ascii="仿宋_GB2312" w:hAnsi="仿宋_GB2312"/>
          <w:b/>
          <w:bCs/>
          <w:sz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lang w:val="en-US" w:eastAsia="zh-CN"/>
        </w:rPr>
        <w:t>四、土壤监测</w:t>
      </w:r>
    </w:p>
    <w:tbl>
      <w:tblPr>
        <w:tblStyle w:val="3"/>
        <w:tblW w:w="33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923"/>
        <w:gridCol w:w="1360"/>
        <w:gridCol w:w="3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监测介质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监测指标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监测介质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土壤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superscript"/>
                <w:lang w:val="en-US" w:eastAsia="zh-CN"/>
              </w:rPr>
              <w:t>a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汞、铊、镉、铅、砷、铍、铬、锡、锑、铜、钴、锰、镍、钒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1次/年</w:t>
            </w: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土壤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Lines="0" w:afterLines="0"/>
        <w:ind w:firstLine="562" w:firstLineChars="200"/>
        <w:rPr>
          <w:rFonts w:hint="default" w:ascii="仿宋_GB2312" w:hAnsi="仿宋_GB2312"/>
          <w:b/>
          <w:bCs/>
          <w:sz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D62C3"/>
    <w:multiLevelType w:val="singleLevel"/>
    <w:tmpl w:val="C97D62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77CAB3"/>
    <w:multiLevelType w:val="singleLevel"/>
    <w:tmpl w:val="5177CA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171CD"/>
    <w:rsid w:val="0A6F5B28"/>
    <w:rsid w:val="1AB13F5A"/>
    <w:rsid w:val="281015D7"/>
    <w:rsid w:val="2C3171CD"/>
    <w:rsid w:val="2F49186D"/>
    <w:rsid w:val="420742A5"/>
    <w:rsid w:val="444158F8"/>
    <w:rsid w:val="52567235"/>
    <w:rsid w:val="69E62EB6"/>
    <w:rsid w:val="7029611E"/>
    <w:rsid w:val="72C021EF"/>
    <w:rsid w:val="7D0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exact"/>
    </w:pPr>
    <w:rPr>
      <w:rFonts w:hint="default" w:ascii="Times New Roman" w:hAnsi="Times New Roman"/>
    </w:rPr>
  </w:style>
  <w:style w:type="table" w:styleId="4">
    <w:name w:val="Table Grid"/>
    <w:basedOn w:val="3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7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8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2020-07-30T01:21:00Z</dcterms:created>
  <dc:creator>Administrator</dc:creator>
  <cp:lastModifiedBy>Administrator</cp:lastModifiedBy>
  <dcterms:modified xsi:type="dcterms:W3CDTF">2020-08-14T07:35:14Z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