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Lines="0" w:afterLines="0" w:line="600" w:lineRule="exact"/>
        <w:ind w:left="0" w:leftChars="0" w:right="0" w:rightChars="0" w:firstLine="0" w:firstLineChars="0"/>
        <w:jc w:val="center"/>
        <w:textAlignment w:val="auto"/>
        <w:outlineLvl w:val="9"/>
        <w:rPr>
          <w:rFonts w:hint="eastAsia" w:ascii="小标宋" w:hAnsi="小标宋" w:eastAsia="小标宋" w:cs="小标宋"/>
          <w:color w:val="auto"/>
          <w:sz w:val="44"/>
          <w:szCs w:val="44"/>
          <w:lang w:val="zh-CN"/>
        </w:rPr>
      </w:pPr>
    </w:p>
    <w:p>
      <w:pPr>
        <w:keepNext w:val="0"/>
        <w:keepLines w:val="0"/>
        <w:pageBreakBefore w:val="0"/>
        <w:widowControl/>
        <w:kinsoku/>
        <w:wordWrap/>
        <w:overflowPunct/>
        <w:topLinePunct w:val="0"/>
        <w:autoSpaceDE/>
        <w:autoSpaceDN/>
        <w:bidi w:val="0"/>
        <w:adjustRightInd w:val="0"/>
        <w:snapToGrid w:val="0"/>
        <w:spacing w:beforeLines="0" w:afterLines="0" w:line="600" w:lineRule="exact"/>
        <w:ind w:left="0" w:leftChars="0" w:right="0" w:rightChars="0" w:firstLine="0" w:firstLineChars="0"/>
        <w:jc w:val="center"/>
        <w:textAlignment w:val="auto"/>
        <w:outlineLvl w:val="9"/>
        <w:rPr>
          <w:rFonts w:hint="eastAsia" w:ascii="小标宋" w:hAnsi="小标宋" w:eastAsia="小标宋" w:cs="小标宋"/>
          <w:color w:val="auto"/>
          <w:sz w:val="44"/>
          <w:szCs w:val="44"/>
          <w:lang w:val="zh-CN"/>
        </w:rPr>
      </w:pPr>
      <w:r>
        <w:rPr>
          <w:rFonts w:hint="eastAsia" w:ascii="小标宋" w:hAnsi="小标宋" w:eastAsia="小标宋" w:cs="小标宋"/>
          <w:color w:val="auto"/>
          <w:sz w:val="44"/>
          <w:szCs w:val="44"/>
          <w:lang w:val="zh-CN"/>
        </w:rPr>
        <w:t>葛洲坝当阳水泥有限公司</w:t>
      </w:r>
    </w:p>
    <w:p>
      <w:pPr>
        <w:keepNext w:val="0"/>
        <w:keepLines w:val="0"/>
        <w:pageBreakBefore w:val="0"/>
        <w:widowControl/>
        <w:kinsoku/>
        <w:wordWrap/>
        <w:overflowPunct/>
        <w:topLinePunct w:val="0"/>
        <w:autoSpaceDE/>
        <w:autoSpaceDN/>
        <w:bidi w:val="0"/>
        <w:adjustRightInd w:val="0"/>
        <w:snapToGrid w:val="0"/>
        <w:spacing w:beforeLines="0" w:afterLines="0" w:line="600" w:lineRule="exact"/>
        <w:ind w:left="0" w:leftChars="0" w:right="0" w:rightChars="0" w:firstLine="0" w:firstLineChars="0"/>
        <w:jc w:val="center"/>
        <w:textAlignment w:val="auto"/>
        <w:outlineLvl w:val="9"/>
        <w:rPr>
          <w:rFonts w:hint="eastAsia" w:ascii="小标宋" w:hAnsi="小标宋" w:eastAsia="小标宋" w:cs="小标宋"/>
          <w:color w:val="auto"/>
          <w:sz w:val="44"/>
          <w:szCs w:val="44"/>
          <w:lang w:val="zh-CN"/>
        </w:rPr>
      </w:pPr>
      <w:r>
        <w:rPr>
          <w:rFonts w:hint="eastAsia" w:ascii="小标宋" w:hAnsi="小标宋" w:eastAsia="小标宋" w:cs="小标宋"/>
          <w:color w:val="auto"/>
          <w:sz w:val="44"/>
          <w:szCs w:val="44"/>
          <w:lang w:val="zh-CN"/>
        </w:rPr>
        <w:t>2020年环境监测计划</w:t>
      </w:r>
    </w:p>
    <w:p>
      <w:pPr>
        <w:keepNext w:val="0"/>
        <w:keepLines w:val="0"/>
        <w:pageBreakBefore w:val="0"/>
        <w:widowControl/>
        <w:kinsoku/>
        <w:wordWrap/>
        <w:overflowPunct/>
        <w:topLinePunct w:val="0"/>
        <w:autoSpaceDE/>
        <w:autoSpaceDN/>
        <w:bidi w:val="0"/>
        <w:adjustRightInd w:val="0"/>
        <w:snapToGrid w:val="0"/>
        <w:spacing w:beforeLines="0" w:afterLines="0" w:line="600" w:lineRule="exact"/>
        <w:ind w:left="0" w:leftChars="0" w:right="0" w:rightChars="0" w:firstLine="880" w:firstLineChars="200"/>
        <w:jc w:val="both"/>
        <w:textAlignment w:val="auto"/>
        <w:outlineLvl w:val="9"/>
        <w:rPr>
          <w:rFonts w:hint="eastAsia" w:ascii="仿宋_GB2312" w:hAnsi="仿宋_GB2312" w:eastAsia="仿宋_GB2312" w:cs="仿宋_GB2312"/>
          <w:color w:val="FF0000"/>
          <w:sz w:val="44"/>
          <w:szCs w:val="44"/>
          <w:lang w:val="en-US"/>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为</w:t>
      </w:r>
      <w:r>
        <w:rPr>
          <w:rFonts w:hint="eastAsia" w:ascii="仿宋_GB2312" w:hAnsi="仿宋_GB2312" w:eastAsia="仿宋_GB2312" w:cs="仿宋_GB2312"/>
          <w:color w:val="000000"/>
          <w:sz w:val="32"/>
          <w:szCs w:val="32"/>
          <w:lang w:val="zh-CN" w:eastAsia="zh-CN"/>
        </w:rPr>
        <w:t>全面</w:t>
      </w:r>
      <w:r>
        <w:rPr>
          <w:rFonts w:hint="eastAsia" w:ascii="仿宋_GB2312" w:hAnsi="仿宋_GB2312" w:eastAsia="仿宋_GB2312" w:cs="仿宋_GB2312"/>
          <w:color w:val="000000"/>
          <w:sz w:val="32"/>
          <w:szCs w:val="32"/>
          <w:lang w:val="zh-CN"/>
        </w:rPr>
        <w:t>掌握公司污染物排放状况，增强环境保护工作的针对性，保证污染治理设施正常运行，促进公司各项环境保护措施的落实，按照《水泥工业自行监测技术指南》要求制定本监测计划。</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lang w:val="zh-CN"/>
        </w:rPr>
        <w:t>一、监测内容</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zh-CN"/>
        </w:rPr>
        <w:t>（一）污染源监督性监测</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rPr>
        <w:t>根据国家、地方政府有关要求，</w:t>
      </w:r>
      <w:r>
        <w:rPr>
          <w:rFonts w:hint="eastAsia" w:ascii="仿宋_GB2312" w:hAnsi="仿宋_GB2312" w:eastAsia="仿宋_GB2312" w:cs="仿宋_GB2312"/>
          <w:color w:val="000000"/>
          <w:sz w:val="32"/>
          <w:szCs w:val="32"/>
          <w:lang w:val="zh-CN" w:eastAsia="zh-CN"/>
        </w:rPr>
        <w:t>各单位需要配合当地环境保护主管部门开展污染源监督性监测。</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zh-CN"/>
        </w:rPr>
        <w:t>（二）企业自行监测</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污染物监测指标及频次</w:t>
      </w:r>
      <w:r>
        <w:rPr>
          <w:rFonts w:hint="eastAsia" w:ascii="仿宋_GB2312" w:hAnsi="仿宋_GB2312" w:eastAsia="仿宋_GB2312" w:cs="仿宋_GB2312"/>
          <w:color w:val="000000"/>
          <w:sz w:val="32"/>
          <w:szCs w:val="32"/>
          <w:lang w:val="zh-CN" w:eastAsia="zh-CN"/>
        </w:rPr>
        <w:t>，</w:t>
      </w:r>
      <w:r>
        <w:rPr>
          <w:rFonts w:hint="eastAsia" w:ascii="仿宋_GB2312" w:hAnsi="仿宋_GB2312" w:eastAsia="仿宋_GB2312" w:cs="仿宋_GB2312"/>
          <w:color w:val="000000"/>
          <w:sz w:val="32"/>
          <w:szCs w:val="32"/>
          <w:lang w:val="zh-CN"/>
        </w:rPr>
        <w:t>按照《水泥工业自行监测技术指南》（</w:t>
      </w:r>
      <w:r>
        <w:rPr>
          <w:rFonts w:hint="eastAsia" w:ascii="仿宋_GB2312" w:hAnsi="仿宋_GB2312" w:eastAsia="仿宋_GB2312" w:cs="仿宋_GB2312"/>
          <w:color w:val="000000"/>
          <w:sz w:val="32"/>
          <w:szCs w:val="32"/>
          <w:lang w:val="en-US" w:eastAsia="zh-CN"/>
        </w:rPr>
        <w:t>HJ848-2017</w:t>
      </w:r>
      <w:r>
        <w:rPr>
          <w:rFonts w:hint="eastAsia" w:ascii="仿宋_GB2312" w:hAnsi="仿宋_GB2312" w:eastAsia="仿宋_GB2312" w:cs="仿宋_GB2312"/>
          <w:color w:val="000000"/>
          <w:sz w:val="32"/>
          <w:szCs w:val="32"/>
          <w:lang w:val="zh-CN"/>
        </w:rPr>
        <w:t>）和排污许可证证申报系统上报的环保监测方案执行</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zh-CN"/>
        </w:rPr>
        <w:t>（三）其他监测</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lang w:val="zh-CN"/>
        </w:rPr>
        <w:t>．投资建设项目应根据项目进展情况，严格执行环境保护</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zh-CN"/>
        </w:rPr>
        <w:t>三同时</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zh-CN"/>
        </w:rPr>
        <w:t>制度，</w:t>
      </w:r>
      <w:r>
        <w:rPr>
          <w:rFonts w:hint="eastAsia" w:ascii="仿宋_GB2312" w:hAnsi="仿宋_GB2312" w:eastAsia="仿宋_GB2312" w:cs="仿宋_GB2312"/>
          <w:color w:val="auto"/>
          <w:sz w:val="32"/>
          <w:szCs w:val="32"/>
          <w:lang w:val="zh-CN"/>
        </w:rPr>
        <w:t>做好各阶段的环境监测工作。</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2</w:t>
      </w:r>
      <w:r>
        <w:rPr>
          <w:rFonts w:hint="eastAsia" w:ascii="仿宋_GB2312" w:hAnsi="仿宋_GB2312" w:eastAsia="仿宋_GB2312" w:cs="仿宋_GB2312"/>
          <w:color w:val="auto"/>
          <w:sz w:val="32"/>
          <w:szCs w:val="32"/>
          <w:lang w:val="zh-CN"/>
        </w:rPr>
        <w:t>．根据国家、地方政府有关要求，</w:t>
      </w:r>
      <w:r>
        <w:rPr>
          <w:rFonts w:hint="eastAsia" w:ascii="仿宋_GB2312" w:hAnsi="仿宋_GB2312" w:eastAsia="仿宋_GB2312" w:cs="仿宋_GB2312"/>
          <w:color w:val="auto"/>
          <w:sz w:val="32"/>
          <w:szCs w:val="32"/>
          <w:lang w:val="zh-CN" w:eastAsia="zh-CN"/>
        </w:rPr>
        <w:t>配合环境保护主管部门</w:t>
      </w:r>
      <w:r>
        <w:rPr>
          <w:rFonts w:hint="eastAsia" w:ascii="仿宋_GB2312" w:hAnsi="仿宋_GB2312" w:eastAsia="仿宋_GB2312" w:cs="仿宋_GB2312"/>
          <w:color w:val="auto"/>
          <w:sz w:val="32"/>
          <w:szCs w:val="32"/>
          <w:lang w:val="zh-CN"/>
        </w:rPr>
        <w:t>就排污许可证申报及换证、环保税征收、环境投诉、环境事件等进行监测。</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黑体" w:hAnsi="黑体" w:eastAsia="黑体" w:cs="黑体"/>
          <w:color w:val="auto"/>
          <w:sz w:val="32"/>
          <w:szCs w:val="32"/>
          <w:lang w:val="zh-CN"/>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黑体" w:hAnsi="黑体" w:eastAsia="黑体" w:cs="黑体"/>
          <w:color w:val="auto"/>
          <w:sz w:val="32"/>
          <w:szCs w:val="32"/>
          <w:lang w:val="zh-CN"/>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黑体" w:hAnsi="黑体" w:eastAsia="黑体" w:cs="黑体"/>
          <w:color w:val="auto"/>
          <w:sz w:val="32"/>
          <w:szCs w:val="32"/>
          <w:lang w:val="zh-CN"/>
        </w:rPr>
      </w:pPr>
      <w:r>
        <w:rPr>
          <w:rFonts w:hint="eastAsia" w:ascii="黑体" w:hAnsi="黑体" w:eastAsia="黑体" w:cs="黑体"/>
          <w:color w:val="auto"/>
          <w:sz w:val="32"/>
          <w:szCs w:val="32"/>
          <w:lang w:val="zh-CN"/>
        </w:rPr>
        <w:t>二、工作要求</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（一）查清本单位污染源、污染物指标及潜在的环境影响，制定环境监测方案，并按照监测方案开展监测活动，记录和保存原始监测数据。</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（二）各单位要高度重视环境监测工作，积极配合，合理安排监测时间，保证监测采样时生产经营环境客观、真实。</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（三）按照《企业事业单位环境信息公开办法》（环境保护部令 第31号）有关规定与要求，对环境信息及监测结果进行公开，并对监测结果的真实性、准确性负责。</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（四）加强对环境监测数据的统计分析，及时掌握本单位的污染物排放状况及其对周边环境质量的影响等情况，采取有效措施，确保污染物稳定达标排放。</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（五）按规定时间将环境监测报告报送至集团水泥公司质量环保部备案。</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zh-CN"/>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zh-CN"/>
        </w:rPr>
      </w:pPr>
    </w:p>
    <w:p>
      <w:pPr>
        <w:spacing w:line="240" w:lineRule="atLeast"/>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spacing w:line="240" w:lineRule="atLeast"/>
        <w:jc w:val="left"/>
        <w:rPr>
          <w:rFonts w:hint="eastAsia" w:ascii="仿宋_GB2312" w:hAnsi="仿宋_GB2312" w:eastAsia="仿宋_GB2312" w:cs="仿宋_GB2312"/>
          <w:color w:val="auto"/>
          <w:sz w:val="32"/>
          <w:szCs w:val="32"/>
          <w:lang w:val="en-US" w:eastAsia="zh-CN"/>
        </w:rPr>
      </w:pPr>
    </w:p>
    <w:p>
      <w:pPr>
        <w:spacing w:line="240" w:lineRule="atLeast"/>
        <w:jc w:val="left"/>
        <w:rPr>
          <w:rFonts w:hint="eastAsia" w:ascii="仿宋_GB2312" w:hAnsi="仿宋_GB2312" w:eastAsia="仿宋_GB2312" w:cs="仿宋_GB2312"/>
          <w:color w:val="auto"/>
          <w:sz w:val="32"/>
          <w:szCs w:val="32"/>
          <w:lang w:val="en-US" w:eastAsia="zh-CN"/>
        </w:rPr>
      </w:pPr>
    </w:p>
    <w:p>
      <w:pPr>
        <w:spacing w:line="240" w:lineRule="atLeast"/>
        <w:jc w:val="left"/>
        <w:rPr>
          <w:rFonts w:hint="eastAsia" w:ascii="仿宋_GB2312" w:hAnsi="仿宋_GB2312" w:eastAsia="仿宋_GB2312" w:cs="仿宋_GB2312"/>
          <w:color w:val="auto"/>
          <w:sz w:val="32"/>
          <w:szCs w:val="32"/>
          <w:lang w:val="zh-CN" w:eastAsia="zh-CN"/>
        </w:rPr>
      </w:pPr>
    </w:p>
    <w:p>
      <w:pPr>
        <w:spacing w:line="240" w:lineRule="atLeast"/>
        <w:jc w:val="left"/>
        <w:rPr>
          <w:rFonts w:hint="eastAsia" w:ascii="仿宋_GB2312" w:hAnsi="仿宋_GB2312" w:eastAsia="仿宋_GB2312" w:cs="仿宋_GB2312"/>
          <w:color w:val="auto"/>
          <w:kern w:val="0"/>
          <w:sz w:val="32"/>
          <w:szCs w:val="32"/>
          <w:lang w:val="zh-CN"/>
        </w:rPr>
      </w:pPr>
    </w:p>
    <w:p>
      <w:pPr>
        <w:spacing w:line="240" w:lineRule="atLeast"/>
        <w:jc w:val="left"/>
        <w:rPr>
          <w:rFonts w:hint="eastAsia" w:ascii="仿宋_GB2312" w:hAnsi="仿宋_GB2312" w:eastAsia="仿宋_GB2312" w:cs="仿宋_GB2312"/>
          <w:color w:val="auto"/>
          <w:kern w:val="0"/>
          <w:sz w:val="32"/>
          <w:szCs w:val="32"/>
          <w:lang w:val="zh-CN"/>
        </w:rPr>
      </w:pPr>
    </w:p>
    <w:p>
      <w:pPr>
        <w:spacing w:line="240" w:lineRule="atLeast"/>
        <w:jc w:val="left"/>
        <w:rPr>
          <w:rFonts w:hint="eastAsia" w:ascii="仿宋_GB2312" w:hAnsi="仿宋_GB2312" w:eastAsia="仿宋_GB2312" w:cs="仿宋_GB2312"/>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 w:val="0"/>
          <w:bCs w:val="0"/>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 w:val="0"/>
          <w:bCs w:val="0"/>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小标宋" w:hAnsi="小标宋" w:eastAsia="小标宋" w:cs="小标宋"/>
          <w:b w:val="0"/>
          <w:bCs w:val="0"/>
          <w:color w:val="auto"/>
          <w:kern w:val="0"/>
          <w:sz w:val="44"/>
          <w:szCs w:val="44"/>
          <w:lang w:val="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小标宋" w:hAnsi="小标宋" w:eastAsia="小标宋" w:cs="小标宋"/>
          <w:b w:val="0"/>
          <w:bCs w:val="0"/>
          <w:color w:val="auto"/>
          <w:kern w:val="0"/>
          <w:sz w:val="44"/>
          <w:szCs w:val="44"/>
          <w:lang w:val="zh-CN"/>
        </w:rPr>
        <w:t>委托监测指标及频次（水泥）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32"/>
          <w:szCs w:val="32"/>
          <w:lang w:val="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271"/>
        <w:gridCol w:w="3531"/>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17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种类</w:t>
            </w:r>
          </w:p>
        </w:tc>
        <w:tc>
          <w:tcPr>
            <w:tcW w:w="227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检测点位</w:t>
            </w: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检测项目</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检测频次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171"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废气</w:t>
            </w:r>
          </w:p>
        </w:tc>
        <w:tc>
          <w:tcPr>
            <w:tcW w:w="2271"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vertAlign w:val="superscript"/>
                <w:lang w:val="en-US" w:eastAsia="zh-CN"/>
              </w:rPr>
              <w:t>#</w:t>
            </w:r>
            <w:r>
              <w:rPr>
                <w:rFonts w:hint="eastAsia" w:ascii="仿宋_GB2312" w:hAnsi="仿宋_GB2312" w:eastAsia="仿宋_GB2312" w:cs="仿宋_GB2312"/>
                <w:sz w:val="28"/>
                <w:szCs w:val="28"/>
                <w:vertAlign w:val="baseline"/>
                <w:lang w:val="en-US"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vertAlign w:val="superscript"/>
                <w:lang w:val="en-US" w:eastAsia="zh-CN"/>
              </w:rPr>
              <w:t>#</w:t>
            </w:r>
            <w:r>
              <w:rPr>
                <w:rFonts w:hint="eastAsia" w:ascii="仿宋_GB2312" w:hAnsi="仿宋_GB2312" w:eastAsia="仿宋_GB2312" w:cs="仿宋_GB2312"/>
                <w:sz w:val="28"/>
                <w:szCs w:val="28"/>
                <w:lang w:val="en-US" w:eastAsia="zh-CN"/>
              </w:rPr>
              <w:t>窑尾废气</w:t>
            </w: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颗粒物、氮氧化物、二氧化硫、氨</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22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氟化物（以</w:t>
            </w:r>
            <w:r>
              <w:rPr>
                <w:rFonts w:hint="eastAsia" w:ascii="仿宋_GB2312" w:hAnsi="仿宋_GB2312" w:eastAsia="仿宋_GB2312" w:cs="仿宋_GB2312"/>
                <w:sz w:val="28"/>
                <w:szCs w:val="28"/>
                <w:vertAlign w:val="baseline"/>
                <w:lang w:val="en-US" w:eastAsia="zh-CN"/>
              </w:rPr>
              <w:t>F计</w:t>
            </w:r>
            <w:r>
              <w:rPr>
                <w:rFonts w:hint="eastAsia" w:ascii="仿宋_GB2312" w:hAnsi="仿宋_GB2312" w:eastAsia="仿宋_GB2312" w:cs="仿宋_GB2312"/>
                <w:sz w:val="28"/>
                <w:szCs w:val="28"/>
                <w:vertAlign w:val="baseline"/>
                <w:lang w:eastAsia="zh-CN"/>
              </w:rPr>
              <w:t>）、汞及其化合物</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22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氯化氢（</w:t>
            </w:r>
            <w:r>
              <w:rPr>
                <w:rFonts w:hint="eastAsia" w:ascii="仿宋_GB2312" w:hAnsi="仿宋_GB2312" w:eastAsia="仿宋_GB2312" w:cs="仿宋_GB2312"/>
                <w:sz w:val="28"/>
                <w:szCs w:val="28"/>
                <w:vertAlign w:val="baseline"/>
                <w:lang w:val="en-US" w:eastAsia="zh-CN"/>
              </w:rPr>
              <w:t>HCL</w:t>
            </w:r>
            <w:r>
              <w:rPr>
                <w:rFonts w:hint="eastAsia" w:ascii="仿宋_GB2312" w:hAnsi="仿宋_GB2312" w:eastAsia="仿宋_GB2312" w:cs="仿宋_GB2312"/>
                <w:sz w:val="28"/>
                <w:szCs w:val="28"/>
                <w:vertAlign w:val="baseline"/>
                <w:lang w:eastAsia="zh-CN"/>
              </w:rPr>
              <w:t>）、氟化氢（</w:t>
            </w:r>
            <w:r>
              <w:rPr>
                <w:rFonts w:hint="eastAsia" w:ascii="仿宋_GB2312" w:hAnsi="仿宋_GB2312" w:eastAsia="仿宋_GB2312" w:cs="仿宋_GB2312"/>
                <w:sz w:val="28"/>
                <w:szCs w:val="28"/>
                <w:vertAlign w:val="baseline"/>
                <w:lang w:val="en-US" w:eastAsia="zh-CN"/>
              </w:rPr>
              <w:t>HF</w:t>
            </w:r>
            <w:r>
              <w:rPr>
                <w:rFonts w:hint="eastAsia" w:ascii="仿宋_GB2312" w:hAnsi="仿宋_GB2312" w:eastAsia="仿宋_GB2312" w:cs="仿宋_GB2312"/>
                <w:sz w:val="28"/>
                <w:szCs w:val="28"/>
                <w:vertAlign w:val="baseline"/>
                <w:lang w:eastAsia="zh-CN"/>
              </w:rPr>
              <w:t>）、总有机碳（</w:t>
            </w:r>
            <w:r>
              <w:rPr>
                <w:rFonts w:hint="eastAsia" w:ascii="仿宋_GB2312" w:hAnsi="仿宋_GB2312" w:eastAsia="仿宋_GB2312" w:cs="仿宋_GB2312"/>
                <w:sz w:val="28"/>
                <w:szCs w:val="28"/>
                <w:vertAlign w:val="baseline"/>
                <w:lang w:val="en-US" w:eastAsia="zh-CN"/>
              </w:rPr>
              <w:t>TOC</w:t>
            </w:r>
            <w:r>
              <w:rPr>
                <w:rFonts w:hint="eastAsia" w:ascii="仿宋_GB2312" w:hAnsi="仿宋_GB2312" w:eastAsia="仿宋_GB2312" w:cs="仿宋_GB2312"/>
                <w:sz w:val="28"/>
                <w:szCs w:val="28"/>
                <w:vertAlign w:val="baseline"/>
                <w:lang w:eastAsia="zh-CN"/>
              </w:rPr>
              <w:t>）</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22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Style w:val="5"/>
                <w:rFonts w:hint="eastAsia" w:ascii="仿宋_GB2312" w:hAnsi="仿宋_GB2312" w:eastAsia="仿宋_GB2312" w:cs="仿宋_GB2312"/>
                <w:kern w:val="2"/>
                <w:sz w:val="28"/>
                <w:szCs w:val="28"/>
                <w:lang w:val="en-US" w:eastAsia="zh-CN" w:bidi="ar-SA"/>
              </w:rPr>
              <w:t>铊、镉、铅、砷及其化合物</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22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Style w:val="5"/>
                <w:rFonts w:hint="eastAsia" w:ascii="仿宋_GB2312" w:hAnsi="仿宋_GB2312" w:eastAsia="仿宋_GB2312" w:cs="仿宋_GB2312"/>
                <w:kern w:val="2"/>
                <w:sz w:val="28"/>
                <w:szCs w:val="28"/>
                <w:lang w:val="en-US" w:eastAsia="zh-CN" w:bidi="ar-SA"/>
              </w:rPr>
              <w:t>铍、铬、锡、锑、铜、钴、锰、镍、钒及其化合物</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22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二噁英</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227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vertAlign w:val="superscript"/>
                <w:lang w:val="en-US" w:eastAsia="zh-CN"/>
              </w:rPr>
              <w:t>#</w:t>
            </w:r>
            <w:r>
              <w:rPr>
                <w:rFonts w:hint="eastAsia" w:ascii="仿宋_GB2312" w:hAnsi="仿宋_GB2312" w:eastAsia="仿宋_GB2312" w:cs="仿宋_GB2312"/>
                <w:sz w:val="28"/>
                <w:szCs w:val="28"/>
                <w:vertAlign w:val="baseline"/>
                <w:lang w:val="en-US"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vertAlign w:val="superscript"/>
                <w:lang w:val="en-US" w:eastAsia="zh-CN"/>
              </w:rPr>
              <w:t>#</w:t>
            </w:r>
            <w:r>
              <w:rPr>
                <w:rFonts w:hint="eastAsia" w:ascii="仿宋_GB2312" w:hAnsi="仿宋_GB2312" w:eastAsia="仿宋_GB2312" w:cs="仿宋_GB2312"/>
                <w:sz w:val="28"/>
                <w:szCs w:val="28"/>
                <w:lang w:val="en-US" w:eastAsia="zh-CN"/>
              </w:rPr>
              <w:t>窑头废气</w:t>
            </w: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颗粒物</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1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227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矿山</w:t>
            </w:r>
            <w:r>
              <w:rPr>
                <w:rFonts w:hint="eastAsia" w:ascii="仿宋_GB2312" w:hAnsi="仿宋_GB2312" w:eastAsia="仿宋_GB2312" w:cs="仿宋_GB2312"/>
                <w:sz w:val="28"/>
                <w:szCs w:val="28"/>
                <w:vertAlign w:val="baseline"/>
                <w:lang w:val="en-US" w:eastAsia="zh-CN"/>
              </w:rPr>
              <w:t>1线、2线石灰石</w:t>
            </w:r>
            <w:r>
              <w:rPr>
                <w:rFonts w:hint="eastAsia" w:ascii="仿宋_GB2312" w:hAnsi="仿宋_GB2312" w:eastAsia="仿宋_GB2312" w:cs="仿宋_GB2312"/>
                <w:sz w:val="28"/>
                <w:szCs w:val="28"/>
                <w:vertAlign w:val="baseline"/>
                <w:lang w:eastAsia="zh-CN"/>
              </w:rPr>
              <w:t>破碎机、骨料破碎机</w:t>
            </w: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颗粒物</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1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227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1-4#水泥磨、1线、2线煤磨、包装机</w:t>
            </w: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颗粒物</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227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其他输送设备、通风设备等小型除尘器（</w:t>
            </w:r>
            <w:r>
              <w:rPr>
                <w:rFonts w:hint="eastAsia" w:ascii="仿宋_GB2312" w:hAnsi="仿宋_GB2312" w:eastAsia="仿宋_GB2312" w:cs="仿宋_GB2312"/>
                <w:sz w:val="28"/>
                <w:szCs w:val="28"/>
                <w:vertAlign w:val="baseline"/>
                <w:lang w:val="en-US" w:eastAsia="zh-CN"/>
              </w:rPr>
              <w:t>96台</w:t>
            </w:r>
            <w:r>
              <w:rPr>
                <w:rFonts w:hint="eastAsia" w:ascii="仿宋_GB2312" w:hAnsi="仿宋_GB2312" w:eastAsia="仿宋_GB2312" w:cs="仿宋_GB2312"/>
                <w:sz w:val="28"/>
                <w:szCs w:val="28"/>
                <w:vertAlign w:val="baseline"/>
                <w:lang w:eastAsia="zh-CN"/>
              </w:rPr>
              <w:t>）</w:t>
            </w: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颗粒物</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1次/两年（每年检测48台）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71"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废水</w:t>
            </w:r>
          </w:p>
        </w:tc>
        <w:tc>
          <w:tcPr>
            <w:tcW w:w="227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生活污水总排口</w:t>
            </w: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氨氮、总磷、</w:t>
            </w:r>
            <w:r>
              <w:rPr>
                <w:rFonts w:hint="eastAsia" w:ascii="仿宋_GB2312" w:hAnsi="仿宋_GB2312" w:eastAsia="仿宋_GB2312" w:cs="仿宋_GB2312"/>
                <w:sz w:val="28"/>
                <w:szCs w:val="28"/>
                <w:vertAlign w:val="baseline"/>
                <w:lang w:val="en-US" w:eastAsia="zh-CN"/>
              </w:rPr>
              <w:t>PH值、SS、COD、BOD5</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1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227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协同处置项目渗滤液处置系统出口</w:t>
            </w: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氨氮、总磷、</w:t>
            </w:r>
            <w:r>
              <w:rPr>
                <w:rFonts w:hint="eastAsia" w:ascii="仿宋_GB2312" w:hAnsi="仿宋_GB2312" w:eastAsia="仿宋_GB2312" w:cs="仿宋_GB2312"/>
                <w:sz w:val="28"/>
                <w:szCs w:val="28"/>
                <w:vertAlign w:val="baseline"/>
                <w:lang w:val="en-US" w:eastAsia="zh-CN"/>
              </w:rPr>
              <w:t>PH值、SS、COD、BOD5</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171"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厂界环境空气</w:t>
            </w:r>
          </w:p>
        </w:tc>
        <w:tc>
          <w:tcPr>
            <w:tcW w:w="2271"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厂界周边</w:t>
            </w: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颗粒物、氨、</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2271"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硫化氢、臭气浓度</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7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厂界噪声</w:t>
            </w:r>
          </w:p>
        </w:tc>
        <w:tc>
          <w:tcPr>
            <w:tcW w:w="227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厂界周边</w:t>
            </w: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噪声监测点位不少于</w:t>
            </w:r>
            <w:r>
              <w:rPr>
                <w:rFonts w:hint="eastAsia" w:ascii="仿宋_GB2312" w:hAnsi="仿宋_GB2312" w:eastAsia="仿宋_GB2312" w:cs="仿宋_GB2312"/>
                <w:sz w:val="28"/>
                <w:szCs w:val="28"/>
                <w:vertAlign w:val="baseline"/>
                <w:lang w:val="en-US" w:eastAsia="zh-CN"/>
              </w:rPr>
              <w:t>8个，昼、夜间分别测试</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17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厂界环境（土壤）</w:t>
            </w:r>
          </w:p>
        </w:tc>
        <w:tc>
          <w:tcPr>
            <w:tcW w:w="227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厂界周边</w:t>
            </w: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汞、铊、镉、铅、砷、铍、铬、锡、锑、铜、钴、锰、镍、钒</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在线比对监测</w:t>
            </w:r>
          </w:p>
        </w:tc>
        <w:tc>
          <w:tcPr>
            <w:tcW w:w="227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vertAlign w:val="superscript"/>
                <w:lang w:val="en-US" w:eastAsia="zh-CN"/>
              </w:rPr>
              <w:t>#</w:t>
            </w:r>
            <w:r>
              <w:rPr>
                <w:rFonts w:hint="eastAsia" w:ascii="仿宋_GB2312" w:hAnsi="仿宋_GB2312" w:eastAsia="仿宋_GB2312" w:cs="仿宋_GB2312"/>
                <w:sz w:val="28"/>
                <w:szCs w:val="28"/>
                <w:vertAlign w:val="baseline"/>
                <w:lang w:val="en-US"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vertAlign w:val="superscript"/>
                <w:lang w:val="en-US" w:eastAsia="zh-CN"/>
              </w:rPr>
              <w:t>#</w:t>
            </w:r>
            <w:r>
              <w:rPr>
                <w:rFonts w:hint="eastAsia" w:ascii="仿宋_GB2312" w:hAnsi="仿宋_GB2312" w:eastAsia="仿宋_GB2312" w:cs="仿宋_GB2312"/>
                <w:sz w:val="28"/>
                <w:szCs w:val="28"/>
                <w:lang w:val="en-US" w:eastAsia="zh-CN"/>
              </w:rPr>
              <w:t>窑尾废气在线监测设施</w:t>
            </w:r>
          </w:p>
        </w:tc>
        <w:tc>
          <w:tcPr>
            <w:tcW w:w="3531"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颗粒物、氮氧化物、二氧化硫，烟温、流量，氧含量</w:t>
            </w:r>
          </w:p>
        </w:tc>
        <w:tc>
          <w:tcPr>
            <w:tcW w:w="181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1次/季度</w:t>
            </w:r>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cs="仿宋_GB2312"/>
          <w:color w:val="auto"/>
          <w:sz w:val="32"/>
          <w:szCs w:val="32"/>
          <w:lang w:val="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cs="仿宋_GB2312"/>
          <w:color w:val="auto"/>
          <w:sz w:val="32"/>
          <w:szCs w:val="32"/>
          <w:lang w:val="zh-CN"/>
        </w:rPr>
      </w:pPr>
      <w:r>
        <w:rPr>
          <w:rFonts w:hint="eastAsia" w:ascii="仿宋_GB2312" w:hAnsi="仿宋_GB2312" w:cs="仿宋_GB2312"/>
          <w:color w:val="auto"/>
          <w:sz w:val="32"/>
          <w:szCs w:val="32"/>
          <w:lang w:val="zh-CN"/>
        </w:rPr>
        <w:t>（注：</w:t>
      </w:r>
      <w:r>
        <w:rPr>
          <w:rFonts w:hint="eastAsia" w:ascii="仿宋_GB2312" w:hAnsi="仿宋_GB2312" w:eastAsia="仿宋_GB2312" w:cs="仿宋_GB2312"/>
          <w:color w:val="auto"/>
          <w:sz w:val="32"/>
          <w:szCs w:val="32"/>
          <w:vertAlign w:val="baseline"/>
          <w:lang w:val="zh-CN"/>
        </w:rPr>
        <w:t>废气监测须按照相应监测分析方法、技术规范同步监测烟气参数。</w:t>
      </w:r>
      <w:r>
        <w:rPr>
          <w:rFonts w:hint="eastAsia" w:ascii="仿宋_GB2312" w:hAnsi="仿宋_GB2312" w:cs="仿宋_GB2312"/>
          <w:color w:val="auto"/>
          <w:sz w:val="32"/>
          <w:szCs w:val="32"/>
          <w:vertAlign w:val="baseline"/>
          <w:lang w:val="zh-CN"/>
        </w:rPr>
        <w:t>）</w:t>
      </w:r>
    </w:p>
    <w:p>
      <w:pPr>
        <w:pStyle w:val="3"/>
        <w:spacing w:line="560" w:lineRule="exact"/>
        <w:ind w:firstLine="0"/>
        <w:jc w:val="center"/>
        <w:rPr>
          <w:rFonts w:hint="eastAsia"/>
        </w:rPr>
      </w:pPr>
    </w:p>
    <w:tbl>
      <w:tblPr>
        <w:tblStyle w:val="4"/>
        <w:tblpPr w:horzAnchor="margin" w:tblpXSpec="center" w:tblpYSpec="bottom"/>
        <w:tblW w:w="0" w:type="auto"/>
        <w:tblInd w:w="0" w:type="dxa"/>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5588"/>
        <w:gridCol w:w="3273"/>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0" w:type="dxa"/>
            <w:bottom w:w="0" w:type="dxa"/>
            <w:right w:w="0" w:type="dxa"/>
          </w:tblCellMar>
        </w:tblPrEx>
        <w:trPr>
          <w:trHeight w:val="550" w:hRule="exact"/>
        </w:trPr>
        <w:tc>
          <w:tcPr>
            <w:tcW w:w="5588" w:type="dxa"/>
            <w:tcBorders>
              <w:top w:val="single" w:color="auto" w:sz="4" w:space="0"/>
            </w:tcBorders>
            <w:noWrap w:val="0"/>
            <w:vAlign w:val="center"/>
          </w:tcPr>
          <w:p>
            <w:pPr>
              <w:pStyle w:val="6"/>
              <w:framePr/>
              <w:ind w:right="320" w:rightChars="100" w:firstLine="274" w:firstLineChars="98"/>
              <w:rPr>
                <w:spacing w:val="-30"/>
                <w:sz w:val="28"/>
                <w:szCs w:val="28"/>
              </w:rPr>
            </w:pPr>
            <w:r>
              <w:rPr>
                <w:rFonts w:hint="eastAsia"/>
                <w:spacing w:val="0"/>
                <w:sz w:val="28"/>
                <w:szCs w:val="28"/>
              </w:rPr>
              <w:t>葛洲坝</w:t>
            </w:r>
            <w:r>
              <w:rPr>
                <w:rFonts w:hint="eastAsia"/>
                <w:spacing w:val="0"/>
                <w:sz w:val="28"/>
                <w:szCs w:val="28"/>
                <w:lang w:eastAsia="zh-CN"/>
              </w:rPr>
              <w:t>当阳</w:t>
            </w:r>
            <w:r>
              <w:rPr>
                <w:rFonts w:hint="eastAsia"/>
                <w:spacing w:val="0"/>
                <w:sz w:val="28"/>
                <w:szCs w:val="28"/>
              </w:rPr>
              <w:t>水泥有限公司</w:t>
            </w:r>
            <w:r>
              <w:rPr>
                <w:rFonts w:hint="eastAsia"/>
                <w:spacing w:val="0"/>
                <w:sz w:val="28"/>
                <w:szCs w:val="28"/>
                <w:lang w:eastAsia="zh-CN"/>
              </w:rPr>
              <w:t>综合部</w:t>
            </w:r>
          </w:p>
        </w:tc>
        <w:tc>
          <w:tcPr>
            <w:tcW w:w="3273" w:type="dxa"/>
            <w:tcBorders>
              <w:top w:val="single" w:color="auto" w:sz="4" w:space="0"/>
            </w:tcBorders>
            <w:noWrap w:val="0"/>
            <w:vAlign w:val="center"/>
          </w:tcPr>
          <w:p>
            <w:pPr>
              <w:tabs>
                <w:tab w:val="left" w:pos="5598"/>
              </w:tabs>
              <w:ind w:left="-320" w:leftChars="-100" w:right="320" w:rightChars="100"/>
            </w:pPr>
            <w:r>
              <w:rPr>
                <w:rFonts w:hint="eastAsia"/>
                <w:sz w:val="28"/>
                <w:szCs w:val="28"/>
              </w:rPr>
              <w:t>20</w:t>
            </w:r>
            <w:r>
              <w:rPr>
                <w:rFonts w:hint="eastAsia"/>
                <w:sz w:val="28"/>
                <w:szCs w:val="28"/>
                <w:lang w:val="en-US"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2020年1月</w:t>
            </w:r>
            <w:r>
              <w:rPr>
                <w:rFonts w:hint="eastAsia" w:ascii="仿宋_GB2312" w:hAnsi="仿宋_GB2312" w:cs="仿宋_GB2312"/>
                <w:sz w:val="28"/>
                <w:szCs w:val="28"/>
                <w:lang w:val="en-US" w:eastAsia="zh-CN"/>
              </w:rPr>
              <w:t>21</w:t>
            </w:r>
            <w:r>
              <w:rPr>
                <w:rFonts w:hint="eastAsia" w:ascii="仿宋_GB2312" w:hAnsi="仿宋_GB2312" w:cs="仿宋_GB2312"/>
                <w:sz w:val="28"/>
                <w:szCs w:val="28"/>
                <w:lang w:eastAsia="zh-CN"/>
              </w:rPr>
              <w:t>日</w:t>
            </w:r>
            <w:r>
              <w:rPr>
                <w:rFonts w:hint="eastAsia"/>
                <w:sz w:val="28"/>
                <w:szCs w:val="28"/>
              </w:rPr>
              <w:t>印发</w:t>
            </w:r>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cs="仿宋_GB2312"/>
          <w:color w:val="auto"/>
          <w:sz w:val="32"/>
          <w:szCs w:val="32"/>
          <w:lang w:val="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小标宋">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078FA"/>
    <w:rsid w:val="59B278B9"/>
    <w:rsid w:val="5E10020C"/>
    <w:rsid w:val="69A07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adjustRightInd w:val="0"/>
      <w:jc w:val="distribute"/>
      <w:outlineLvl w:val="0"/>
    </w:pPr>
    <w:rPr>
      <w:rFonts w:eastAsia="公文小标宋简"/>
      <w:b/>
      <w:color w:val="FF0000"/>
      <w:kern w:val="44"/>
      <w:sz w:val="7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uiPriority w:val="0"/>
    <w:pPr>
      <w:ind w:firstLine="630"/>
    </w:pPr>
    <w:rPr>
      <w:kern w:val="0"/>
      <w:szCs w:val="32"/>
    </w:rPr>
  </w:style>
  <w:style w:type="paragraph" w:customStyle="1" w:styleId="6">
    <w:name w:val="抄送"/>
    <w:basedOn w:val="7"/>
    <w:qFormat/>
    <w:uiPriority w:val="0"/>
    <w:pPr>
      <w:ind w:left="0" w:firstLine="0"/>
    </w:pPr>
    <w:rPr>
      <w:rFonts w:eastAsia="仿宋_GB2312"/>
    </w:rPr>
  </w:style>
  <w:style w:type="paragraph" w:customStyle="1" w:styleId="7">
    <w:name w:val="主题词"/>
    <w:basedOn w:val="1"/>
    <w:qFormat/>
    <w:uiPriority w:val="0"/>
    <w:pPr>
      <w:framePr w:wrap="notBeside" w:vAnchor="margin" w:hAnchor="margin" w:yAlign="bottom"/>
      <w:ind w:left="1246" w:hanging="1246"/>
    </w:pPr>
    <w:rPr>
      <w:rFonts w:eastAsia="公文小标宋简"/>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2020-07-30T06:45:00Z</dcterms:created>
  <dc:creator>hp</dc:creator>
  <cp:lastModifiedBy>楚流乡</cp:lastModifiedBy>
  <dcterms:modified xsi:type="dcterms:W3CDTF">2020-08-13T02:21:00Z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