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葛洲坝兴山水泥有限公司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sz w:val="44"/>
          <w:szCs w:val="44"/>
          <w:lang w:val="en-US" w:eastAsia="zh-CN"/>
        </w:rPr>
        <w:t>2020年环境保护监测计划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根据《中华人民共和国环境保护法》《中华人民共和国职业病防治法》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《放射性同位素与射线装置安全和防护管理办法》《排污单位自行监测技术指南水泥工业》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及相关法规、规章等规定，按照市、县两级环保、安监部门以及集团水泥公司下达的相应监测计划，结合我公司工作实际，特制定20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年环境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监测计划。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一、环境监测计划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  <w:t>（一）污染源监督性监测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根据国家、地方政府有关要求，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宜昌市生态环境局兴山分局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以及上级环保主管部门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开展污染源监督性监测。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  <w:t>（二）企业内部监测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《排污单位自行监测技术指南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水泥工业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HJ848-2017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以及《排污许可证申请与核发技术规范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水泥工业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》（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HJ847-2017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）以及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《工厂厂界噪声排放标准》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GB12348-2008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三类地区标准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见附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（三）企业委托监测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委托有资质的第三方机构进行监测，标准按照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《排污单位自行监测技术指南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水泥工业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HJ848-2017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、《排污许可证申请与核发技术规范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水泥工业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》（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HJ847-2017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《工厂厂界噪声排放标准》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GB12348-2008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三类地区标准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、《饮食业油烟排放标准》（GB18483-2001）制定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（见附件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2、3、4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（四）辐射监测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委托有资质的第三方机构进行辐射相关监测，根据《放射性同位素与射线装置安全和防护管理办法》要求，需包括辐射年度监测、个人剂量监测、竣工辐射监测。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二、工作措施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/>
          <w:color w:val="auto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积极配合完成市、县两级环境监督性监测和第三方监测工作。加强与环境监测部门、在线监测运维单位之间的沟通，做好监测数据比对，确保数据传输的准确性和及时性。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2</w:t>
      </w:r>
      <w:r>
        <w:rPr>
          <w:rFonts w:hint="eastAsia" w:ascii="仿宋_GB2312" w:eastAsia="仿宋_GB2312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配合环境监察部门，做好环境与职业卫生现场执法检查。对检查过程中发现的问题，由安全环保部下达整改任务书，各责任单位负责落实。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eastAsia="仿宋_GB2312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本监测计划由安全环保部牵头组织，生产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管理部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参与实施，按计划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认真落实；同时认真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核算污染物排放浓度与生产成本之间的关系，为中控操作提供科学依据。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4</w:t>
      </w:r>
      <w:r>
        <w:rPr>
          <w:rFonts w:hint="eastAsia" w:ascii="仿宋_GB2312" w:eastAsia="仿宋_GB2312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监测结果经部门负责人、公司分管领导审核签字后上报、上传。需公示的监测数据与结论，由安全环保部按规定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监测仪器每年校准或检验一次，确保监测结果的准确性，校准或检验记录需存档，由安全环保部负责落实。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附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企业内部环境保护监测因子及频次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 xml:space="preserve"> 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环境保护有组织废气委托监测因子及频次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 xml:space="preserve"> 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环境保护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组织废气委托监测因子及频次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 xml:space="preserve"> 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环境保护废水、噪声委托监测因子及频次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kern w:val="0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40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44"/>
          <w:lang w:val="zh-CN"/>
        </w:rPr>
      </w:pPr>
      <w:r>
        <w:rPr>
          <w:rFonts w:hint="eastAsia" w:ascii="小标宋" w:hAnsi="小标宋" w:eastAsia="小标宋"/>
          <w:color w:val="auto"/>
          <w:kern w:val="0"/>
          <w:sz w:val="44"/>
          <w:lang w:val="zh-CN"/>
        </w:rPr>
        <w:t>企业内部</w:t>
      </w:r>
      <w:r>
        <w:rPr>
          <w:rFonts w:hint="eastAsia" w:ascii="小标宋" w:hAnsi="小标宋" w:eastAsia="小标宋"/>
          <w:color w:val="auto"/>
          <w:kern w:val="0"/>
          <w:sz w:val="44"/>
          <w:lang w:val="en-US" w:eastAsia="zh-CN"/>
        </w:rPr>
        <w:t>环境保护</w:t>
      </w:r>
      <w:r>
        <w:rPr>
          <w:rFonts w:hint="eastAsia" w:ascii="小标宋" w:hAnsi="小标宋" w:eastAsia="小标宋"/>
          <w:color w:val="auto"/>
          <w:kern w:val="0"/>
          <w:sz w:val="44"/>
          <w:lang w:val="zh-CN"/>
        </w:rPr>
        <w:t>监测因子及频次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40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07"/>
        <w:gridCol w:w="2133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zh-CN"/>
              </w:rPr>
              <w:t>监测点位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zh-CN"/>
              </w:rPr>
              <w:t>监测因子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zh-CN"/>
              </w:rPr>
              <w:t>监测频次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zh-CN"/>
              </w:rPr>
              <w:t>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水泥窑窑头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排气筒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颗粒物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sz w:val="24"/>
                <w:szCs w:val="24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20mg/m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煤磨排气筒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颗粒物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季度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20mg/m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水泥磨排气筒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颗粒物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季度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10mg/m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水泥窑窑尾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排气筒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颗粒物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月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20mg/m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二氧化硫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月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100mg/m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氮氧化物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月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320mg/m</w:t>
            </w: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厂界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噪声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/>
                <w:color w:val="auto"/>
                <w:sz w:val="24"/>
                <w:szCs w:val="24"/>
                <w:vertAlign w:val="baseline"/>
                <w:lang w:val="zh-CN"/>
              </w:rPr>
              <w:t>季度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昼间：65dB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夜间：55dB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44"/>
          <w:lang w:val="zh-CN"/>
        </w:rPr>
      </w:pPr>
      <w:r>
        <w:rPr>
          <w:rFonts w:hint="eastAsia" w:ascii="小标宋" w:hAnsi="小标宋" w:eastAsia="小标宋"/>
          <w:color w:val="auto"/>
          <w:kern w:val="0"/>
          <w:sz w:val="44"/>
          <w:lang w:val="en-US" w:eastAsia="zh-CN"/>
        </w:rPr>
        <w:t>环境保护</w:t>
      </w:r>
      <w:r>
        <w:rPr>
          <w:rFonts w:hint="eastAsia" w:ascii="小标宋" w:hAnsi="小标宋" w:eastAsia="小标宋"/>
          <w:color w:val="auto"/>
          <w:kern w:val="0"/>
          <w:sz w:val="44"/>
          <w:lang w:val="zh-CN"/>
        </w:rPr>
        <w:t>有组织废气委托监测因子及频次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32"/>
          <w:szCs w:val="32"/>
          <w:lang w:val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生产单元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监测因子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zh-CN"/>
              </w:rPr>
              <w:t>排放限值（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mg/m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矿山开采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破碎机排气筒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半年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输送设备及其他通风生产设备的排气筒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两年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水泥制造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zh-CN" w:eastAsia="zh-CN"/>
              </w:rPr>
              <w:t>水泥窑窑尾排气筒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季度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二氧化硫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季度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氮氧化物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季度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zh-CN" w:eastAsia="zh-CN"/>
              </w:rPr>
              <w:t>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季度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zh-CN" w:eastAsia="zh-CN"/>
              </w:rPr>
              <w:t>氟化物（以总</w:t>
            </w: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F</w:t>
            </w: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zh-CN" w:eastAsia="zh-CN"/>
              </w:rPr>
              <w:t>计）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半年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zh-CN" w:eastAsia="zh-CN"/>
              </w:rPr>
              <w:t>汞及其化合物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zh-CN" w:eastAsia="zh-CN"/>
              </w:rPr>
              <w:t>半年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水泥窑头排气筒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季度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破碎机、磨机、包装机排气筒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半年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输送设备及其他通风生产设备的排气筒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两年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煤磨排气筒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半年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食堂油烟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食堂油烟排气筒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油烟浓度、净化效率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一年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2.0、净化效率≥75%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44"/>
          <w:lang w:val="zh-CN"/>
        </w:rPr>
      </w:pPr>
      <w:r>
        <w:rPr>
          <w:rFonts w:hint="eastAsia" w:ascii="小标宋" w:hAnsi="小标宋" w:eastAsia="小标宋"/>
          <w:color w:val="auto"/>
          <w:kern w:val="0"/>
          <w:sz w:val="44"/>
          <w:lang w:val="en-US" w:eastAsia="zh-CN"/>
        </w:rPr>
        <w:t>环境保护</w:t>
      </w:r>
      <w:r>
        <w:rPr>
          <w:rFonts w:hint="eastAsia" w:ascii="小标宋" w:hAnsi="小标宋" w:eastAsia="小标宋"/>
          <w:color w:val="auto"/>
          <w:kern w:val="0"/>
          <w:sz w:val="44"/>
          <w:lang w:val="zh-CN"/>
        </w:rPr>
        <w:t>无组织废气委托监测因子及频次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32"/>
          <w:szCs w:val="32"/>
          <w:lang w:val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0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监测因子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排放限值（mg/m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superscript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厂界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颗粒物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季度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氨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44"/>
          <w:lang w:val="zh-CN"/>
        </w:rPr>
      </w:pPr>
      <w:r>
        <w:rPr>
          <w:rFonts w:hint="eastAsia" w:ascii="小标宋" w:hAnsi="小标宋" w:eastAsia="小标宋"/>
          <w:color w:val="auto"/>
          <w:kern w:val="0"/>
          <w:sz w:val="44"/>
          <w:lang w:val="en-US" w:eastAsia="zh-CN"/>
        </w:rPr>
        <w:t>环境保护</w:t>
      </w:r>
      <w:r>
        <w:rPr>
          <w:rFonts w:hint="eastAsia" w:ascii="小标宋" w:hAnsi="小标宋" w:eastAsia="小标宋"/>
          <w:color w:val="auto"/>
          <w:kern w:val="0"/>
          <w:sz w:val="44"/>
          <w:lang w:val="zh-CN"/>
        </w:rPr>
        <w:t>废水、噪声委托监测因子及频次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/>
          <w:color w:val="auto"/>
          <w:kern w:val="0"/>
          <w:sz w:val="32"/>
          <w:szCs w:val="32"/>
          <w:lang w:val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zh-CN"/>
              </w:rPr>
              <w:t>监测点位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zh-CN"/>
              </w:rPr>
              <w:t>监测因子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zh-CN"/>
              </w:rPr>
              <w:t>监测频次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zh-CN"/>
              </w:rPr>
              <w:t>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生活污水总排口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pH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半年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6-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化学需氧量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半年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500mg/L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悬浮物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半年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400mg/L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日生化需氧量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半年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300mg/L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总磷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半年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8mg/L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氨氮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半年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45mg/L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厂界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噪声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zh-CN"/>
              </w:rPr>
              <w:t>季度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昼间：65dB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夜间：55dB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F4E76"/>
    <w:rsid w:val="0DBD3D89"/>
    <w:rsid w:val="1A4F4E76"/>
    <w:rsid w:val="1AAA411D"/>
    <w:rsid w:val="20444FA7"/>
    <w:rsid w:val="34536D4B"/>
    <w:rsid w:val="35AB3FE7"/>
    <w:rsid w:val="3BA07E6A"/>
    <w:rsid w:val="44302B59"/>
    <w:rsid w:val="44704043"/>
    <w:rsid w:val="4BFA45C7"/>
    <w:rsid w:val="50820DB3"/>
    <w:rsid w:val="69B80009"/>
    <w:rsid w:val="6FF6521F"/>
    <w:rsid w:val="7AA66651"/>
    <w:rsid w:val="7B4B6F55"/>
    <w:rsid w:val="7D2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adjustRightInd w:val="0"/>
      <w:snapToGrid w:val="0"/>
      <w:spacing w:line="560" w:lineRule="exact"/>
      <w:ind w:firstLine="640" w:firstLineChars="200"/>
      <w:jc w:val="left"/>
      <w:outlineLvl w:val="0"/>
    </w:pPr>
    <w:rPr>
      <w:rFonts w:ascii="Times New Roman" w:hAnsi="Times New Roman" w:eastAsia="黑体" w:cs="Times New Roman"/>
      <w:b/>
      <w:bCs/>
      <w:kern w:val="44"/>
      <w:sz w:val="32"/>
      <w:szCs w:val="32"/>
      <w:lang w:val="en-US" w:eastAsia="zh-CN" w:bidi="ar-SA"/>
    </w:rPr>
  </w:style>
  <w:style w:type="paragraph" w:styleId="3">
    <w:name w:val="heading 2"/>
    <w:basedOn w:val="2"/>
    <w:next w:val="1"/>
    <w:link w:val="10"/>
    <w:semiHidden/>
    <w:unhideWhenUsed/>
    <w:qFormat/>
    <w:uiPriority w:val="0"/>
    <w:pPr>
      <w:keepNext/>
      <w:keepLines/>
      <w:widowControl w:val="0"/>
      <w:spacing w:line="560" w:lineRule="exact"/>
      <w:ind w:firstLine="640" w:firstLineChars="200"/>
      <w:jc w:val="both"/>
      <w:outlineLvl w:val="1"/>
    </w:pPr>
    <w:rPr>
      <w:rFonts w:ascii="Times New Roman" w:hAnsi="Times New Roman" w:eastAsia="黑体" w:cs="黑体"/>
      <w:kern w:val="2"/>
    </w:rPr>
  </w:style>
  <w:style w:type="paragraph" w:styleId="4">
    <w:name w:val="heading 3"/>
    <w:basedOn w:val="3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Char"/>
    <w:link w:val="3"/>
    <w:qFormat/>
    <w:uiPriority w:val="0"/>
    <w:rPr>
      <w:rFonts w:ascii="Times New Roman" w:hAnsi="Times New Roman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2020-08-07T08:14:00Z</dcterms:created>
  <dc:creator>hqs</dc:creator>
  <cp:lastModifiedBy>hqs</cp:lastModifiedBy>
  <dcterms:modified xsi:type="dcterms:W3CDTF">2020-08-07T08:32:54Z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